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3257F558" w:rsidR="00346991" w:rsidRDefault="007C17B2" w:rsidP="00CE0208">
      <w:pPr>
        <w:spacing w:after="0"/>
        <w:jc w:val="center"/>
        <w:rPr>
          <w:rStyle w:val="expand19-200"/>
          <w:b/>
          <w:color w:val="2D2C2D"/>
          <w:sz w:val="24"/>
          <w:szCs w:val="24"/>
        </w:rPr>
      </w:pPr>
      <w:r w:rsidRPr="003657D7">
        <w:rPr>
          <w:rFonts w:ascii="Times New Roman" w:hAnsi="Times New Roman"/>
          <w:b/>
          <w:sz w:val="24"/>
          <w:szCs w:val="24"/>
        </w:rPr>
        <w:t xml:space="preserve">nr </w:t>
      </w:r>
      <w:r w:rsidR="003657D7" w:rsidRPr="003657D7">
        <w:rPr>
          <w:rStyle w:val="expand19-200"/>
          <w:b/>
          <w:color w:val="2D2C2D"/>
          <w:sz w:val="24"/>
          <w:szCs w:val="24"/>
        </w:rPr>
        <w:t>1-13/18/2336-1</w:t>
      </w:r>
    </w:p>
    <w:p w14:paraId="736BF3E0" w14:textId="4E0FE2CE" w:rsidR="009D69E6" w:rsidRPr="003657D7" w:rsidRDefault="009D69E6" w:rsidP="00CE0208">
      <w:pPr>
        <w:spacing w:after="0"/>
        <w:jc w:val="center"/>
        <w:rPr>
          <w:rFonts w:ascii="Times New Roman" w:hAnsi="Times New Roman"/>
          <w:b/>
          <w:sz w:val="24"/>
          <w:szCs w:val="24"/>
        </w:rPr>
      </w:pPr>
      <w:r>
        <w:rPr>
          <w:rStyle w:val="expand19-200"/>
          <w:b/>
          <w:color w:val="2D2C2D"/>
          <w:sz w:val="24"/>
          <w:szCs w:val="24"/>
        </w:rPr>
        <w:t>30.12.2018</w:t>
      </w:r>
      <w:bookmarkStart w:id="0" w:name="_GoBack"/>
      <w:bookmarkEnd w:id="0"/>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77E7332F"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registrikoodiga 70001490, aadressiga Teelise 4, 10916 Tallinn, mida esindab tehnoosakonna juhataja Jürgo Vahtra, kes tegutseb Maanteeameti peadirektori 18.02.2016 käskkirja nr 0044 alusel,</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458036E9" w:rsidR="004D54AE" w:rsidRPr="00FF5EEC" w:rsidRDefault="006E6D77" w:rsidP="004D54AE">
      <w:pPr>
        <w:spacing w:after="0"/>
        <w:jc w:val="both"/>
        <w:rPr>
          <w:rFonts w:ascii="Times New Roman" w:hAnsi="Times New Roman"/>
          <w:sz w:val="24"/>
          <w:szCs w:val="24"/>
        </w:rPr>
      </w:pPr>
      <w:r>
        <w:rPr>
          <w:rFonts w:ascii="Times New Roman" w:hAnsi="Times New Roman"/>
          <w:b/>
          <w:sz w:val="24"/>
          <w:szCs w:val="24"/>
        </w:rPr>
        <w:t>Osaühing Rakvere Autotehnika</w:t>
      </w:r>
      <w:r>
        <w:rPr>
          <w:rFonts w:ascii="Times New Roman" w:hAnsi="Times New Roman"/>
          <w:sz w:val="24"/>
          <w:szCs w:val="24"/>
        </w:rPr>
        <w:t>, registrikoodiga 10897385</w:t>
      </w:r>
      <w:r w:rsidR="00306A2F">
        <w:rPr>
          <w:rFonts w:ascii="Times New Roman" w:hAnsi="Times New Roman"/>
          <w:sz w:val="24"/>
          <w:szCs w:val="24"/>
        </w:rPr>
        <w:t xml:space="preserve">, aadressiga </w:t>
      </w:r>
      <w:r>
        <w:rPr>
          <w:rFonts w:ascii="Times New Roman" w:hAnsi="Times New Roman"/>
          <w:sz w:val="24"/>
          <w:szCs w:val="24"/>
        </w:rPr>
        <w:t>Lääne-Viru maakond, Rakvere linn, Rägavere tee 44, 44312</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Pr>
          <w:rFonts w:ascii="Times New Roman" w:hAnsi="Times New Roman"/>
          <w:sz w:val="24"/>
          <w:szCs w:val="24"/>
        </w:rPr>
        <w:t>), mida esindab juhatuse liige Anti Alavere</w:t>
      </w:r>
      <w:r w:rsidR="00A53281">
        <w:rPr>
          <w:rFonts w:ascii="Times New Roman" w:hAnsi="Times New Roman"/>
          <w:sz w:val="24"/>
          <w:szCs w:val="24"/>
        </w:rPr>
        <w:t>, kes tegutseb</w:t>
      </w:r>
      <w:r w:rsidR="00306A2F">
        <w:rPr>
          <w:rFonts w:ascii="Times New Roman" w:hAnsi="Times New Roman"/>
          <w:sz w:val="24"/>
          <w:szCs w:val="24"/>
        </w:rPr>
        <w:t xml:space="preserve"> 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7A76A88F" w14:textId="77777777" w:rsidR="009A1FBD" w:rsidRDefault="009A1FBD">
      <w:pPr>
        <w:spacing w:after="0" w:line="240" w:lineRule="auto"/>
        <w:rPr>
          <w:rFonts w:ascii="Times New Roman" w:hAnsi="Times New Roman"/>
          <w:sz w:val="24"/>
          <w:szCs w:val="24"/>
        </w:rPr>
      </w:pPr>
      <w:r>
        <w:rPr>
          <w:rFonts w:ascii="Times New Roman" w:hAnsi="Times New Roman"/>
          <w:sz w:val="24"/>
          <w:szCs w:val="24"/>
        </w:rPr>
        <w:lastRenderedPageBreak/>
        <w:br w:type="page"/>
      </w:r>
    </w:p>
    <w:p w14:paraId="63C56779" w14:textId="54AC8BA9" w:rsidR="00E96492" w:rsidRPr="00E96492" w:rsidRDefault="0051747B" w:rsidP="00EB71D3">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p>
    <w:p w14:paraId="2E711B7B" w14:textId="1929C50C" w:rsidR="0051747B" w:rsidRPr="00E91E34" w:rsidRDefault="0074374F" w:rsidP="00E91E34">
      <w:pPr>
        <w:pStyle w:val="Loendilik"/>
        <w:spacing w:after="0"/>
        <w:ind w:left="792"/>
        <w:jc w:val="both"/>
        <w:rPr>
          <w:rFonts w:ascii="Times New Roman" w:hAnsi="Times New Roman"/>
          <w:sz w:val="24"/>
          <w:szCs w:val="24"/>
        </w:rPr>
      </w:pPr>
      <w:r>
        <w:rPr>
          <w:rFonts w:ascii="Times New Roman" w:hAnsi="Times New Roman"/>
          <w:sz w:val="24"/>
          <w:szCs w:val="24"/>
        </w:rPr>
        <w:t>M1- ja N1-kategooria KIA</w:t>
      </w:r>
      <w:r w:rsidR="00E96492" w:rsidRPr="00E91E34">
        <w:rPr>
          <w:rFonts w:ascii="Times New Roman" w:hAnsi="Times New Roman"/>
          <w:sz w:val="24"/>
          <w:szCs w:val="24"/>
        </w:rPr>
        <w:t xml:space="preserve"> sõidukitele</w:t>
      </w:r>
      <w:r w:rsidR="0051747B" w:rsidRPr="00E91E34">
        <w:rPr>
          <w:rFonts w:ascii="Times New Roman" w:hAnsi="Times New Roman"/>
          <w:sz w:val="24"/>
          <w:szCs w:val="24"/>
        </w:rPr>
        <w:t xml:space="preserve"> (edaspidi </w:t>
      </w:r>
      <w:r w:rsidR="0051747B" w:rsidRPr="00E91E34">
        <w:rPr>
          <w:rFonts w:ascii="Times New Roman" w:hAnsi="Times New Roman"/>
          <w:b/>
          <w:sz w:val="24"/>
          <w:szCs w:val="24"/>
        </w:rPr>
        <w:t>„Sõiduk“</w:t>
      </w:r>
      <w:r w:rsidR="0051747B" w:rsidRPr="00E91E34">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lastRenderedPageBreak/>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lastRenderedPageBreak/>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E711BD4" w14:textId="1173969E" w:rsidR="002933E7" w:rsidRDefault="00D02D99"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Anti Alavere</w:t>
      </w:r>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anti.alavere@autotehnika.ee</w:t>
      </w:r>
      <w:r w:rsidR="00C217E4" w:rsidRPr="00D87E39">
        <w:rPr>
          <w:rFonts w:ascii="Times New Roman" w:hAnsi="Times New Roman"/>
          <w:sz w:val="24"/>
          <w:szCs w:val="24"/>
        </w:rPr>
        <w:t>,</w:t>
      </w:r>
      <w:r>
        <w:rPr>
          <w:rFonts w:ascii="Times New Roman" w:hAnsi="Times New Roman"/>
          <w:sz w:val="24"/>
          <w:szCs w:val="24"/>
        </w:rPr>
        <w:t xml:space="preserve"> telefon 505 8787.</w:t>
      </w:r>
    </w:p>
    <w:p w14:paraId="2FCB8653" w14:textId="77777777" w:rsidR="00BE4DAE" w:rsidRPr="00BE4DAE" w:rsidRDefault="00BE4DAE" w:rsidP="00BE4DAE">
      <w:pPr>
        <w:tabs>
          <w:tab w:val="left" w:pos="567"/>
          <w:tab w:val="left" w:pos="851"/>
        </w:tabs>
        <w:spacing w:after="0"/>
        <w:ind w:left="792"/>
        <w:rPr>
          <w:rFonts w:ascii="Times New Roman" w:hAnsi="Times New Roman"/>
          <w:sz w:val="24"/>
          <w:szCs w:val="24"/>
        </w:rPr>
      </w:pPr>
    </w:p>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20D6A1C0" w:rsidR="007710A8" w:rsidRPr="00FF5EEC" w:rsidRDefault="00680A59"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r>
        <w:rPr>
          <w:rFonts w:ascii="Times New Roman" w:hAnsi="Times New Roman"/>
          <w:sz w:val="24"/>
          <w:szCs w:val="24"/>
        </w:rPr>
        <w:tab/>
      </w:r>
      <w:r w:rsidR="00BE4DAE">
        <w:rPr>
          <w:rFonts w:ascii="Times New Roman" w:hAnsi="Times New Roman"/>
          <w:sz w:val="24"/>
          <w:szCs w:val="24"/>
        </w:rPr>
        <w:tab/>
      </w:r>
      <w:r w:rsidR="007710A8" w:rsidRPr="00FF5EEC">
        <w:rPr>
          <w:rFonts w:ascii="Times New Roman" w:hAnsi="Times New Roman"/>
          <w:sz w:val="24"/>
          <w:szCs w:val="24"/>
        </w:rPr>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1265E06F" w:rsidR="007710A8" w:rsidRPr="00FF5EEC" w:rsidRDefault="00680A59" w:rsidP="007710A8">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r>
        <w:rPr>
          <w:rFonts w:ascii="Times New Roman" w:hAnsi="Times New Roman"/>
          <w:i/>
          <w:iCs/>
          <w:sz w:val="24"/>
          <w:szCs w:val="24"/>
        </w:rPr>
        <w:tab/>
      </w:r>
      <w:r w:rsidR="00BE4DAE">
        <w:rPr>
          <w:rFonts w:ascii="Times New Roman" w:hAnsi="Times New Roman"/>
          <w:i/>
          <w:iCs/>
          <w:sz w:val="24"/>
          <w:szCs w:val="24"/>
        </w:rPr>
        <w:tab/>
      </w:r>
      <w:r w:rsidR="007710A8" w:rsidRPr="00FF5EEC">
        <w:rPr>
          <w:rFonts w:ascii="Times New Roman" w:hAnsi="Times New Roman"/>
          <w:i/>
          <w:iCs/>
          <w:sz w:val="24"/>
          <w:szCs w:val="24"/>
        </w:rPr>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271F9707"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680A59">
        <w:rPr>
          <w:rFonts w:ascii="Times New Roman" w:hAnsi="Times New Roman"/>
          <w:sz w:val="24"/>
          <w:szCs w:val="24"/>
        </w:rPr>
        <w:tab/>
      </w:r>
      <w:r w:rsidR="00D02D99">
        <w:rPr>
          <w:rFonts w:ascii="Times New Roman" w:hAnsi="Times New Roman"/>
          <w:sz w:val="24"/>
          <w:szCs w:val="24"/>
        </w:rPr>
        <w:tab/>
        <w:t>Anti Alavere</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53CEE0C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80A59">
      <w:rPr>
        <w:rFonts w:ascii="Times New Roman" w:hAnsi="Times New Roman"/>
        <w:noProof/>
        <w:sz w:val="20"/>
        <w:szCs w:val="20"/>
      </w:rPr>
      <w:t>4</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80A5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06A2F"/>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57D7"/>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0A59"/>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E6D77"/>
    <w:rsid w:val="006F11C8"/>
    <w:rsid w:val="006F5C1C"/>
    <w:rsid w:val="007022CE"/>
    <w:rsid w:val="007027E8"/>
    <w:rsid w:val="007029CB"/>
    <w:rsid w:val="00706DE0"/>
    <w:rsid w:val="007209AA"/>
    <w:rsid w:val="00725B7F"/>
    <w:rsid w:val="00732A95"/>
    <w:rsid w:val="0074319E"/>
    <w:rsid w:val="0074374F"/>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147C"/>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97B7C"/>
    <w:rsid w:val="009A1FBD"/>
    <w:rsid w:val="009C0129"/>
    <w:rsid w:val="009C5017"/>
    <w:rsid w:val="009C715F"/>
    <w:rsid w:val="009D2225"/>
    <w:rsid w:val="009D3E51"/>
    <w:rsid w:val="009D5F55"/>
    <w:rsid w:val="009D69E6"/>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53281"/>
    <w:rsid w:val="00A6015D"/>
    <w:rsid w:val="00A606C7"/>
    <w:rsid w:val="00A615D2"/>
    <w:rsid w:val="00A7096B"/>
    <w:rsid w:val="00A7433A"/>
    <w:rsid w:val="00A823D3"/>
    <w:rsid w:val="00A85B33"/>
    <w:rsid w:val="00A97151"/>
    <w:rsid w:val="00A97A35"/>
    <w:rsid w:val="00AA0E89"/>
    <w:rsid w:val="00AA15D3"/>
    <w:rsid w:val="00AA1E34"/>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762C9"/>
    <w:rsid w:val="00B8019A"/>
    <w:rsid w:val="00B90332"/>
    <w:rsid w:val="00B928F7"/>
    <w:rsid w:val="00B94F8C"/>
    <w:rsid w:val="00BA2784"/>
    <w:rsid w:val="00BA7827"/>
    <w:rsid w:val="00BB231F"/>
    <w:rsid w:val="00BB7EE3"/>
    <w:rsid w:val="00BC4E5C"/>
    <w:rsid w:val="00BE28D2"/>
    <w:rsid w:val="00BE2D83"/>
    <w:rsid w:val="00BE4DAE"/>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2D99"/>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7751"/>
    <w:rsid w:val="00E5052E"/>
    <w:rsid w:val="00E5423F"/>
    <w:rsid w:val="00E7232A"/>
    <w:rsid w:val="00E72692"/>
    <w:rsid w:val="00E73949"/>
    <w:rsid w:val="00E776D0"/>
    <w:rsid w:val="00E87BFF"/>
    <w:rsid w:val="00E91716"/>
    <w:rsid w:val="00E918AC"/>
    <w:rsid w:val="00E91E34"/>
    <w:rsid w:val="00E9394D"/>
    <w:rsid w:val="00E96492"/>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 w:type="character" w:customStyle="1" w:styleId="expand19-200">
    <w:name w:val="expand19-200"/>
    <w:basedOn w:val="Liguvaikefont"/>
    <w:rsid w:val="00365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BA71D3-E01E-4E02-9F50-99F69D9E4C33}">
  <ds:schemaRefs>
    <ds:schemaRef ds:uri="http://schemas.microsoft.com/office/2006/metadata/properties"/>
    <ds:schemaRef ds:uri="http://purl.org/dc/dcmitype/"/>
    <ds:schemaRef ds:uri="http://schemas.microsoft.com/sharepoint/v3/fields"/>
    <ds:schemaRef ds:uri="http://schemas.openxmlformats.org/package/2006/metadata/core-properties"/>
    <ds:schemaRef ds:uri="http://schemas.microsoft.com/office/infopath/2007/PartnerControls"/>
    <ds:schemaRef ds:uri="http://schemas.microsoft.com/office/2006/documentManagement/types"/>
    <ds:schemaRef ds:uri="b616425f-44d1-4aec-aedb-2449d2d16618"/>
    <ds:schemaRef ds:uri="http://purl.org/dc/elements/1.1/"/>
    <ds:schemaRef ds:uri="50fb2972-d693-4d00-9f27-c6c78240043b"/>
    <ds:schemaRef ds:uri="http://www.w3.org/XML/1998/namespace"/>
    <ds:schemaRef ds:uri="http://purl.org/dc/terms/"/>
  </ds:schemaRefs>
</ds:datastoreItem>
</file>

<file path=customXml/itemProps3.xml><?xml version="1.0" encoding="utf-8"?>
<ds:datastoreItem xmlns:ds="http://schemas.openxmlformats.org/officeDocument/2006/customXml" ds:itemID="{061012CA-E0B6-42BB-862F-CC1D2B95C82F}">
  <ds:schemaRefs>
    <ds:schemaRef ds:uri="http://schemas.openxmlformats.org/officeDocument/2006/bibliography"/>
  </ds:schemaRefs>
</ds:datastoreItem>
</file>

<file path=customXml/itemProps4.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5.xml><?xml version="1.0" encoding="utf-8"?>
<ds:datastoreItem xmlns:ds="http://schemas.openxmlformats.org/officeDocument/2006/customXml" ds:itemID="{B616FF71-B638-4535-A149-09C1E529E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1696</Words>
  <Characters>9840</Characters>
  <Application>Microsoft Office Word</Application>
  <DocSecurity>0</DocSecurity>
  <Lines>82</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2019-01-04T14:35:00Z</dcterms:created>
  <dcterms:modified xsi:type="dcterms:W3CDTF">2019-01-04T14:35:00Z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